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proofErr w:type="gramStart"/>
      <w:r>
        <w:rPr>
          <w:rFonts w:ascii="Century Gothic" w:hAnsi="Century Gothic"/>
          <w:b/>
          <w:bCs/>
          <w:color w:val="FAA21B" w:themeColor="accent1"/>
          <w:sz w:val="28"/>
          <w:szCs w:val="28"/>
        </w:rPr>
        <w:t>dans</w:t>
      </w:r>
      <w:proofErr w:type="gramEnd"/>
      <w:r>
        <w:rPr>
          <w:rFonts w:ascii="Century Gothic" w:hAnsi="Century Gothic"/>
          <w:b/>
          <w:bCs/>
          <w:color w:val="FAA21B" w:themeColor="accent1"/>
          <w:sz w:val="28"/>
          <w:szCs w:val="28"/>
        </w:rPr>
        <w:t xml:space="preserve"> le cadre de l’adhésion à ESP87</w:t>
      </w:r>
    </w:p>
    <w:p w14:paraId="068B1A17" w14:textId="6EBFDC08" w:rsidR="0081570B" w:rsidRPr="0081570B" w:rsidRDefault="00255C48"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D02D9E2" w:rsidR="0081570B" w:rsidRDefault="000E6E29"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CONSEILS ET ASSISTANCE TECHNIQUE</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Email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2AEA36BF" w:rsidR="000E6E29" w:rsidRPr="00406663" w:rsidRDefault="00255C48"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1416359360"/>
          <w14:checkbox>
            <w14:checked w14:val="0"/>
            <w14:checkedState w14:val="2612" w14:font="MS Gothic"/>
            <w14:uncheckedState w14:val="2610" w14:font="MS Gothic"/>
          </w14:checkbox>
        </w:sdtPr>
        <w:sdtEndPr/>
        <w:sdtContent>
          <w:r w:rsidR="0082725B">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 xml:space="preserve"> 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3E31BB3F" w14:textId="0452BF8D" w:rsidR="000E6E2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756999" w:rsidRPr="00756999">
        <w:rPr>
          <w:rFonts w:ascii="Century Gothic" w:hAnsi="Century Gothic"/>
          <w:b/>
          <w:bCs/>
          <w:color w:val="FAA21B" w:themeColor="accent1"/>
          <w:sz w:val="28"/>
          <w:szCs w:val="28"/>
        </w:rPr>
        <w:t>2.1 - Accompagnement à l’optimisation tarifaire</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6824"/>
      </w:tblGrid>
      <w:tr w:rsidR="00406663" w:rsidRPr="00406663" w14:paraId="3C724A0B" w14:textId="77777777" w:rsidTr="00255C48">
        <w:trPr>
          <w:trHeight w:val="567"/>
        </w:trPr>
        <w:tc>
          <w:tcPr>
            <w:tcW w:w="1737" w:type="pct"/>
            <w:tcBorders>
              <w:top w:val="single" w:sz="4" w:space="0" w:color="auto"/>
              <w:left w:val="single" w:sz="4" w:space="0" w:color="auto"/>
              <w:bottom w:val="single" w:sz="4" w:space="0" w:color="auto"/>
              <w:right w:val="single" w:sz="4" w:space="0" w:color="auto"/>
            </w:tcBorders>
            <w:vAlign w:val="center"/>
            <w:hideMark/>
          </w:tcPr>
          <w:p w14:paraId="38B3B629" w14:textId="2EA08396" w:rsidR="00294741" w:rsidRPr="00406663" w:rsidRDefault="00294741" w:rsidP="004512CB">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P</w:t>
            </w:r>
            <w:r w:rsidR="005937EC" w:rsidRPr="00406663">
              <w:rPr>
                <w:rFonts w:ascii="Century Gothic" w:hAnsi="Century Gothic"/>
                <w:b/>
                <w:color w:val="636466" w:themeColor="text1"/>
              </w:rPr>
              <w:t>oint(s) de livraison (P</w:t>
            </w:r>
            <w:r w:rsidRPr="00406663">
              <w:rPr>
                <w:rFonts w:ascii="Century Gothic" w:hAnsi="Century Gothic"/>
                <w:b/>
                <w:color w:val="636466" w:themeColor="text1"/>
              </w:rPr>
              <w:t>DL</w:t>
            </w:r>
            <w:r w:rsidR="005937EC" w:rsidRPr="00406663">
              <w:rPr>
                <w:rFonts w:ascii="Century Gothic" w:hAnsi="Century Gothic"/>
                <w:b/>
                <w:color w:val="636466" w:themeColor="text1"/>
              </w:rPr>
              <w:t>) concerné(s)</w:t>
            </w:r>
            <w:r w:rsidRPr="00406663">
              <w:rPr>
                <w:rFonts w:ascii="Century Gothic" w:hAnsi="Century Gothic"/>
                <w:b/>
                <w:color w:val="636466" w:themeColor="text1"/>
              </w:rPr>
              <w:t xml:space="preserve"> </w:t>
            </w:r>
          </w:p>
        </w:tc>
        <w:tc>
          <w:tcPr>
            <w:tcW w:w="3263" w:type="pct"/>
            <w:tcBorders>
              <w:top w:val="single" w:sz="4" w:space="0" w:color="auto"/>
              <w:left w:val="single" w:sz="4" w:space="0" w:color="auto"/>
              <w:bottom w:val="single" w:sz="4" w:space="0" w:color="auto"/>
              <w:right w:val="single" w:sz="4" w:space="0" w:color="auto"/>
            </w:tcBorders>
            <w:vAlign w:val="center"/>
          </w:tcPr>
          <w:p w14:paraId="143DD8F1" w14:textId="77777777" w:rsidR="00F44580" w:rsidRDefault="00255C48" w:rsidP="00F44580">
            <w:pPr>
              <w:rPr>
                <w:rFonts w:ascii="Century Gothic" w:hAnsi="Century Gothic"/>
                <w:bCs/>
                <w:caps/>
                <w:color w:val="636466" w:themeColor="text1"/>
              </w:rPr>
            </w:pPr>
            <w:sdt>
              <w:sdtPr>
                <w:rPr>
                  <w:rFonts w:ascii="Century Gothic" w:hAnsi="Century Gothic"/>
                </w:rPr>
                <w:id w:val="-409698784"/>
                <w14:checkbox>
                  <w14:checked w14:val="0"/>
                  <w14:checkedState w14:val="2612" w14:font="MS Gothic"/>
                  <w14:uncheckedState w14:val="2610" w14:font="MS Gothic"/>
                </w14:checkbox>
              </w:sdtPr>
              <w:sdtEndPr/>
              <w:sdtContent>
                <w:r w:rsidR="00F44580" w:rsidRPr="008919FB">
                  <w:rPr>
                    <w:rFonts w:ascii="MS Gothic" w:eastAsia="MS Gothic" w:hAnsi="MS Gothic" w:hint="eastAsia"/>
                  </w:rPr>
                  <w:t>☐</w:t>
                </w:r>
              </w:sdtContent>
            </w:sdt>
            <w:r w:rsidR="00F44580" w:rsidRPr="008919FB">
              <w:rPr>
                <w:rFonts w:ascii="Century Gothic" w:hAnsi="Century Gothic"/>
                <w:bCs/>
                <w:color w:val="636466" w:themeColor="text1"/>
              </w:rPr>
              <w:t xml:space="preserve"> </w:t>
            </w:r>
            <w:r w:rsidR="00F44580" w:rsidRPr="00406663">
              <w:rPr>
                <w:rFonts w:ascii="Century Gothic" w:hAnsi="Century Gothic"/>
                <w:bCs/>
                <w:color w:val="636466" w:themeColor="text1"/>
              </w:rPr>
              <w:t>N° RAE/PDL ou nom(s) contrat</w:t>
            </w:r>
            <w:r w:rsidR="00F44580" w:rsidRPr="00406663">
              <w:rPr>
                <w:rFonts w:ascii="Century Gothic" w:hAnsi="Century Gothic"/>
                <w:bCs/>
                <w:caps/>
                <w:color w:val="636466" w:themeColor="text1"/>
              </w:rPr>
              <w:t> :</w:t>
            </w:r>
          </w:p>
          <w:p w14:paraId="61600A26" w14:textId="70AA19CB" w:rsidR="005937EC" w:rsidRPr="00F44580" w:rsidRDefault="00255C48" w:rsidP="00F44580">
            <w:pPr>
              <w:rPr>
                <w:rFonts w:ascii="Century Gothic" w:hAnsi="Century Gothic"/>
              </w:rPr>
            </w:pPr>
            <w:sdt>
              <w:sdtPr>
                <w:rPr>
                  <w:rFonts w:ascii="Century Gothic" w:hAnsi="Century Gothic"/>
                </w:rPr>
                <w:id w:val="2103829250"/>
                <w14:checkbox>
                  <w14:checked w14:val="0"/>
                  <w14:checkedState w14:val="2612" w14:font="MS Gothic"/>
                  <w14:uncheckedState w14:val="2610" w14:font="MS Gothic"/>
                </w14:checkbox>
              </w:sdtPr>
              <w:sdtEndPr/>
              <w:sdtContent>
                <w:r w:rsidR="00F44580">
                  <w:rPr>
                    <w:rFonts w:ascii="MS Gothic" w:eastAsia="MS Gothic" w:hAnsi="MS Gothic" w:hint="eastAsia"/>
                  </w:rPr>
                  <w:t>☐</w:t>
                </w:r>
              </w:sdtContent>
            </w:sdt>
            <w:r w:rsidR="00F44580" w:rsidRPr="008919FB">
              <w:rPr>
                <w:rFonts w:ascii="Century Gothic" w:hAnsi="Century Gothic"/>
                <w:bCs/>
                <w:color w:val="636466" w:themeColor="text1"/>
              </w:rPr>
              <w:t xml:space="preserve"> </w:t>
            </w:r>
            <w:r w:rsidR="00F44580" w:rsidRPr="00406663">
              <w:rPr>
                <w:rFonts w:ascii="Century Gothic" w:hAnsi="Century Gothic"/>
                <w:bCs/>
                <w:color w:val="636466" w:themeColor="text1"/>
              </w:rPr>
              <w:t>Plusieurs</w:t>
            </w:r>
            <w:r w:rsidR="00F44580" w:rsidRPr="00406663">
              <w:rPr>
                <w:rFonts w:ascii="Century Gothic" w:hAnsi="Century Gothic"/>
                <w:bCs/>
                <w:caps/>
                <w:color w:val="636466" w:themeColor="text1"/>
              </w:rPr>
              <w:t xml:space="preserve"> PDL </w:t>
            </w:r>
            <w:r w:rsidR="00F44580" w:rsidRPr="00406663">
              <w:rPr>
                <w:rFonts w:ascii="Century Gothic" w:hAnsi="Century Gothic"/>
                <w:bCs/>
                <w:color w:val="636466" w:themeColor="text1"/>
              </w:rPr>
              <w:t>(spécifier dans patrimoine concerné)</w:t>
            </w:r>
            <w:r w:rsidR="00F44580">
              <w:rPr>
                <w:rFonts w:ascii="Century Gothic" w:hAnsi="Century Gothic"/>
                <w:bCs/>
                <w:color w:val="636466" w:themeColor="text1"/>
              </w:rPr>
              <w:t> :</w:t>
            </w:r>
          </w:p>
        </w:tc>
      </w:tr>
      <w:tr w:rsidR="00406663" w:rsidRPr="00406663" w14:paraId="750AC4AB" w14:textId="77777777" w:rsidTr="00053BCE">
        <w:trPr>
          <w:trHeight w:val="567"/>
        </w:trPr>
        <w:tc>
          <w:tcPr>
            <w:tcW w:w="1737" w:type="pct"/>
            <w:tcBorders>
              <w:top w:val="single" w:sz="4" w:space="0" w:color="auto"/>
              <w:left w:val="single" w:sz="4" w:space="0" w:color="auto"/>
              <w:bottom w:val="single" w:sz="4" w:space="0" w:color="auto"/>
              <w:right w:val="single" w:sz="4" w:space="0" w:color="auto"/>
            </w:tcBorders>
            <w:vAlign w:val="center"/>
            <w:hideMark/>
          </w:tcPr>
          <w:p w14:paraId="078F539A" w14:textId="116DC804" w:rsidR="00294741" w:rsidRPr="00406663" w:rsidRDefault="009B21F7" w:rsidP="004512CB">
            <w:pPr>
              <w:spacing w:after="0" w:line="240" w:lineRule="auto"/>
              <w:rPr>
                <w:rFonts w:ascii="Century Gothic" w:hAnsi="Century Gothic"/>
                <w:color w:val="636466" w:themeColor="text1"/>
              </w:rPr>
            </w:pPr>
            <w:r>
              <w:rPr>
                <w:rFonts w:ascii="Century Gothic" w:hAnsi="Century Gothic"/>
                <w:color w:val="636466" w:themeColor="text1"/>
              </w:rPr>
              <w:t>Bâtiment</w:t>
            </w:r>
            <w:r w:rsidR="008F114C">
              <w:rPr>
                <w:rFonts w:ascii="Century Gothic" w:hAnsi="Century Gothic"/>
                <w:color w:val="636466" w:themeColor="text1"/>
              </w:rPr>
              <w:t>(s)</w:t>
            </w:r>
            <w:r w:rsidR="00294741" w:rsidRPr="00406663">
              <w:rPr>
                <w:rFonts w:ascii="Century Gothic" w:hAnsi="Century Gothic"/>
                <w:color w:val="636466" w:themeColor="text1"/>
              </w:rPr>
              <w:t xml:space="preserve"> concerné</w:t>
            </w:r>
            <w:r w:rsidR="008F114C">
              <w:rPr>
                <w:rFonts w:ascii="Century Gothic" w:hAnsi="Century Gothic"/>
                <w:color w:val="636466" w:themeColor="text1"/>
              </w:rPr>
              <w:t>(s)</w:t>
            </w:r>
            <w:r w:rsidR="00294741" w:rsidRPr="00406663">
              <w:rPr>
                <w:rFonts w:ascii="Century Gothic" w:hAnsi="Century Gothic"/>
                <w:color w:val="636466" w:themeColor="text1"/>
              </w:rPr>
              <w:t> :</w:t>
            </w:r>
          </w:p>
        </w:tc>
        <w:tc>
          <w:tcPr>
            <w:tcW w:w="3263" w:type="pct"/>
            <w:tcBorders>
              <w:top w:val="single" w:sz="4" w:space="0" w:color="auto"/>
              <w:left w:val="single" w:sz="4" w:space="0" w:color="auto"/>
              <w:bottom w:val="single" w:sz="4" w:space="0" w:color="auto"/>
              <w:right w:val="single" w:sz="4" w:space="0" w:color="auto"/>
            </w:tcBorders>
            <w:vAlign w:val="center"/>
          </w:tcPr>
          <w:p w14:paraId="2086F8FD"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F78FD2A" w14:textId="77777777" w:rsidTr="00053BCE">
        <w:trPr>
          <w:trHeight w:val="1134"/>
        </w:trPr>
        <w:tc>
          <w:tcPr>
            <w:tcW w:w="1737" w:type="pct"/>
            <w:tcBorders>
              <w:top w:val="single" w:sz="4" w:space="0" w:color="auto"/>
              <w:left w:val="single" w:sz="4" w:space="0" w:color="auto"/>
              <w:bottom w:val="single" w:sz="4" w:space="0" w:color="auto"/>
              <w:right w:val="single" w:sz="4" w:space="0" w:color="auto"/>
            </w:tcBorders>
            <w:vAlign w:val="center"/>
          </w:tcPr>
          <w:p w14:paraId="47A5AC94" w14:textId="2EB1A6A1" w:rsidR="00294741" w:rsidRPr="00406663" w:rsidRDefault="00294741" w:rsidP="004512CB">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 (par exemple extinction nocturne, travaux à venir…)</w:t>
            </w:r>
          </w:p>
        </w:tc>
        <w:tc>
          <w:tcPr>
            <w:tcW w:w="3263" w:type="pct"/>
            <w:tcBorders>
              <w:top w:val="single" w:sz="4" w:space="0" w:color="auto"/>
              <w:left w:val="single" w:sz="4" w:space="0" w:color="auto"/>
              <w:bottom w:val="single" w:sz="4" w:space="0" w:color="auto"/>
              <w:right w:val="single" w:sz="4" w:space="0" w:color="auto"/>
            </w:tcBorders>
            <w:vAlign w:val="center"/>
          </w:tcPr>
          <w:p w14:paraId="39DA86FA"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0A66082" w14:textId="77777777" w:rsidTr="00053BCE">
        <w:trPr>
          <w:trHeight w:val="567"/>
        </w:trPr>
        <w:tc>
          <w:tcPr>
            <w:tcW w:w="1737" w:type="pct"/>
            <w:tcBorders>
              <w:top w:val="single" w:sz="4" w:space="0" w:color="auto"/>
              <w:left w:val="single" w:sz="4" w:space="0" w:color="auto"/>
              <w:bottom w:val="single" w:sz="4" w:space="0" w:color="auto"/>
              <w:right w:val="single" w:sz="4" w:space="0" w:color="auto"/>
            </w:tcBorders>
            <w:vAlign w:val="center"/>
          </w:tcPr>
          <w:p w14:paraId="1B49EB95" w14:textId="480D66B2" w:rsidR="00294741" w:rsidRPr="00406663" w:rsidRDefault="00294741"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sidR="00F44580">
              <w:rPr>
                <w:rFonts w:ascii="Century Gothic" w:hAnsi="Century Gothic"/>
                <w:color w:val="636466" w:themeColor="text1"/>
                <w:kern w:val="0"/>
                <w14:ligatures w14:val="none"/>
              </w:rPr>
              <w:t> :</w:t>
            </w:r>
          </w:p>
        </w:tc>
        <w:tc>
          <w:tcPr>
            <w:tcW w:w="3263" w:type="pct"/>
            <w:tcBorders>
              <w:top w:val="single" w:sz="4" w:space="0" w:color="auto"/>
              <w:left w:val="single" w:sz="4" w:space="0" w:color="auto"/>
              <w:bottom w:val="single" w:sz="4" w:space="0" w:color="auto"/>
              <w:right w:val="single" w:sz="4" w:space="0" w:color="auto"/>
            </w:tcBorders>
            <w:vAlign w:val="center"/>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Pr="00406663" w:rsidRDefault="000E6E29" w:rsidP="00B06345">
      <w:pPr>
        <w:spacing w:after="0" w:line="240" w:lineRule="auto"/>
        <w:rPr>
          <w:rFonts w:ascii="Times New Roman" w:hAnsi="Times New Roman"/>
          <w:color w:val="636466" w:themeColor="text1"/>
          <w:sz w:val="24"/>
          <w:szCs w:val="24"/>
        </w:rPr>
      </w:pPr>
    </w:p>
    <w:p w14:paraId="4E0598B4" w14:textId="4D783F78" w:rsidR="000E6E29" w:rsidRPr="00406663" w:rsidRDefault="00B06345"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Observations éventuelles</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67098515" w14:textId="7A688673"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469CA418" w14:textId="741247AF" w:rsidR="00026179"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7C54EAA0"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26179"/>
    <w:rsid w:val="00053093"/>
    <w:rsid w:val="00053BCE"/>
    <w:rsid w:val="00054B25"/>
    <w:rsid w:val="000873AE"/>
    <w:rsid w:val="00097505"/>
    <w:rsid w:val="000C44FE"/>
    <w:rsid w:val="000E6E29"/>
    <w:rsid w:val="001C5547"/>
    <w:rsid w:val="00255C48"/>
    <w:rsid w:val="00270803"/>
    <w:rsid w:val="00294741"/>
    <w:rsid w:val="002E17D8"/>
    <w:rsid w:val="002F4E74"/>
    <w:rsid w:val="0030546D"/>
    <w:rsid w:val="0036480F"/>
    <w:rsid w:val="003C2E9F"/>
    <w:rsid w:val="00406663"/>
    <w:rsid w:val="004666C3"/>
    <w:rsid w:val="00472F1C"/>
    <w:rsid w:val="00494550"/>
    <w:rsid w:val="004C30BD"/>
    <w:rsid w:val="005937EC"/>
    <w:rsid w:val="006D0284"/>
    <w:rsid w:val="006F77C9"/>
    <w:rsid w:val="00745F28"/>
    <w:rsid w:val="00756999"/>
    <w:rsid w:val="007724B3"/>
    <w:rsid w:val="007976DC"/>
    <w:rsid w:val="0081570B"/>
    <w:rsid w:val="0082725B"/>
    <w:rsid w:val="00840A18"/>
    <w:rsid w:val="00850B94"/>
    <w:rsid w:val="008B3983"/>
    <w:rsid w:val="008D507F"/>
    <w:rsid w:val="008F114C"/>
    <w:rsid w:val="00902BEB"/>
    <w:rsid w:val="00956674"/>
    <w:rsid w:val="00967E23"/>
    <w:rsid w:val="009A5742"/>
    <w:rsid w:val="009B21F7"/>
    <w:rsid w:val="009E4DB6"/>
    <w:rsid w:val="00A2552F"/>
    <w:rsid w:val="00A43D70"/>
    <w:rsid w:val="00B06345"/>
    <w:rsid w:val="00BE2704"/>
    <w:rsid w:val="00C522EB"/>
    <w:rsid w:val="00C61A47"/>
    <w:rsid w:val="00C8123D"/>
    <w:rsid w:val="00CA485F"/>
    <w:rsid w:val="00CB1065"/>
    <w:rsid w:val="00CD629E"/>
    <w:rsid w:val="00CE0938"/>
    <w:rsid w:val="00CF012D"/>
    <w:rsid w:val="00D9277E"/>
    <w:rsid w:val="00DA3DEE"/>
    <w:rsid w:val="00E728E8"/>
    <w:rsid w:val="00E74616"/>
    <w:rsid w:val="00F02338"/>
    <w:rsid w:val="00F20678"/>
    <w:rsid w:val="00F44580"/>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1261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Eloy JACQUET</cp:lastModifiedBy>
  <cp:revision>9</cp:revision>
  <dcterms:created xsi:type="dcterms:W3CDTF">2023-05-17T07:52:00Z</dcterms:created>
  <dcterms:modified xsi:type="dcterms:W3CDTF">2023-06-28T07:59:00Z</dcterms:modified>
</cp:coreProperties>
</file>